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C7C" w:rsidRPr="00482C7C" w:rsidRDefault="00482C7C" w:rsidP="00482C7C">
      <w:pPr>
        <w:rPr>
          <w:b/>
          <w:bCs/>
          <w:sz w:val="32"/>
          <w:szCs w:val="32"/>
          <w:u w:val="single"/>
        </w:rPr>
      </w:pPr>
      <w:bookmarkStart w:id="0" w:name="_GoBack"/>
      <w:r w:rsidRPr="00482C7C">
        <w:rPr>
          <w:b/>
          <w:bCs/>
          <w:sz w:val="32"/>
          <w:szCs w:val="32"/>
          <w:u w:val="single"/>
        </w:rPr>
        <w:t>A Live Cell Microfluidics Device Utilizing Phenotypic Biomarkers for Prostate Cancer.</w:t>
      </w:r>
    </w:p>
    <w:bookmarkEnd w:id="0"/>
    <w:p w:rsidR="00482C7C" w:rsidRPr="00482C7C" w:rsidRDefault="00482C7C" w:rsidP="00482C7C">
      <w:pPr>
        <w:rPr>
          <w:b/>
          <w:bCs/>
          <w:u w:val="single"/>
        </w:rPr>
      </w:pPr>
      <w:r w:rsidRPr="00482C7C">
        <w:rPr>
          <w:b/>
          <w:bCs/>
          <w:u w:val="single"/>
        </w:rPr>
        <w:t>David Albala MD</w:t>
      </w:r>
      <w:r w:rsidRPr="00482C7C">
        <w:rPr>
          <w:b/>
          <w:bCs/>
          <w:u w:val="single"/>
          <w:vertAlign w:val="superscript"/>
        </w:rPr>
        <w:t>1</w:t>
      </w:r>
      <w:r w:rsidRPr="00482C7C">
        <w:rPr>
          <w:b/>
          <w:bCs/>
          <w:u w:val="single"/>
        </w:rPr>
        <w:t xml:space="preserve">, Vladimir </w:t>
      </w:r>
      <w:proofErr w:type="spellStart"/>
      <w:r w:rsidRPr="00482C7C">
        <w:rPr>
          <w:b/>
          <w:bCs/>
          <w:u w:val="single"/>
        </w:rPr>
        <w:t>Mouraviev</w:t>
      </w:r>
      <w:proofErr w:type="spellEnd"/>
      <w:r w:rsidRPr="00482C7C">
        <w:rPr>
          <w:b/>
          <w:bCs/>
          <w:u w:val="single"/>
        </w:rPr>
        <w:t xml:space="preserve"> MD</w:t>
      </w:r>
      <w:r w:rsidRPr="00482C7C">
        <w:rPr>
          <w:b/>
          <w:bCs/>
          <w:u w:val="single"/>
          <w:vertAlign w:val="superscript"/>
        </w:rPr>
        <w:t>2</w:t>
      </w:r>
      <w:r w:rsidRPr="00482C7C">
        <w:rPr>
          <w:b/>
          <w:bCs/>
          <w:u w:val="single"/>
        </w:rPr>
        <w:t xml:space="preserve">, Kimberly </w:t>
      </w:r>
      <w:proofErr w:type="spellStart"/>
      <w:r w:rsidRPr="00482C7C">
        <w:rPr>
          <w:b/>
          <w:bCs/>
          <w:u w:val="single"/>
        </w:rPr>
        <w:t>Rieger</w:t>
      </w:r>
      <w:proofErr w:type="spellEnd"/>
      <w:r w:rsidRPr="00482C7C">
        <w:rPr>
          <w:b/>
          <w:bCs/>
          <w:u w:val="single"/>
        </w:rPr>
        <w:t>−Christ PhD</w:t>
      </w:r>
      <w:r w:rsidRPr="00482C7C">
        <w:rPr>
          <w:b/>
          <w:bCs/>
          <w:u w:val="single"/>
          <w:vertAlign w:val="superscript"/>
        </w:rPr>
        <w:t>3</w:t>
      </w:r>
      <w:r w:rsidRPr="00482C7C">
        <w:rPr>
          <w:b/>
          <w:bCs/>
          <w:u w:val="single"/>
        </w:rPr>
        <w:t>, Travis Sullivan MS</w:t>
      </w:r>
      <w:r w:rsidRPr="00482C7C">
        <w:rPr>
          <w:b/>
          <w:bCs/>
          <w:u w:val="single"/>
          <w:vertAlign w:val="superscript"/>
        </w:rPr>
        <w:t>3</w:t>
      </w:r>
      <w:r w:rsidRPr="00482C7C">
        <w:rPr>
          <w:b/>
          <w:bCs/>
          <w:u w:val="single"/>
        </w:rPr>
        <w:t xml:space="preserve">, Naveen </w:t>
      </w:r>
      <w:proofErr w:type="spellStart"/>
      <w:r w:rsidRPr="00482C7C">
        <w:rPr>
          <w:b/>
          <w:bCs/>
          <w:u w:val="single"/>
        </w:rPr>
        <w:t>Kella</w:t>
      </w:r>
      <w:proofErr w:type="spellEnd"/>
      <w:r w:rsidRPr="00482C7C">
        <w:rPr>
          <w:b/>
          <w:bCs/>
          <w:u w:val="single"/>
        </w:rPr>
        <w:t xml:space="preserve"> MD</w:t>
      </w:r>
      <w:r w:rsidRPr="00482C7C">
        <w:rPr>
          <w:b/>
          <w:bCs/>
          <w:u w:val="single"/>
          <w:vertAlign w:val="superscript"/>
        </w:rPr>
        <w:t>4</w:t>
      </w:r>
      <w:r w:rsidRPr="00482C7C">
        <w:rPr>
          <w:b/>
          <w:bCs/>
          <w:u w:val="single"/>
        </w:rPr>
        <w:t>, Kevin Knopf MD</w:t>
      </w:r>
      <w:r w:rsidRPr="00482C7C">
        <w:rPr>
          <w:b/>
          <w:bCs/>
          <w:u w:val="single"/>
          <w:vertAlign w:val="superscript"/>
        </w:rPr>
        <w:t>5</w:t>
      </w:r>
      <w:r w:rsidRPr="00482C7C">
        <w:rPr>
          <w:b/>
          <w:bCs/>
          <w:u w:val="single"/>
        </w:rPr>
        <w:t>, Hani Rashid MD</w:t>
      </w:r>
      <w:r w:rsidRPr="00482C7C">
        <w:rPr>
          <w:b/>
          <w:bCs/>
          <w:u w:val="single"/>
          <w:vertAlign w:val="superscript"/>
        </w:rPr>
        <w:t>6</w:t>
      </w:r>
      <w:r w:rsidRPr="00482C7C">
        <w:rPr>
          <w:b/>
          <w:bCs/>
          <w:u w:val="single"/>
        </w:rPr>
        <w:t xml:space="preserve">, Michael </w:t>
      </w:r>
      <w:proofErr w:type="spellStart"/>
      <w:r w:rsidRPr="00482C7C">
        <w:rPr>
          <w:b/>
          <w:bCs/>
          <w:u w:val="single"/>
        </w:rPr>
        <w:t>Manak</w:t>
      </w:r>
      <w:proofErr w:type="spellEnd"/>
      <w:r w:rsidRPr="00482C7C">
        <w:rPr>
          <w:b/>
          <w:bCs/>
          <w:u w:val="single"/>
        </w:rPr>
        <w:t xml:space="preserve"> PhD</w:t>
      </w:r>
      <w:r w:rsidRPr="00482C7C">
        <w:rPr>
          <w:b/>
          <w:bCs/>
          <w:u w:val="single"/>
          <w:vertAlign w:val="superscript"/>
        </w:rPr>
        <w:t>7</w:t>
      </w:r>
      <w:r w:rsidRPr="00482C7C">
        <w:rPr>
          <w:b/>
          <w:bCs/>
          <w:u w:val="single"/>
        </w:rPr>
        <w:t>, Brad Hogan PhD</w:t>
      </w:r>
      <w:r w:rsidRPr="00482C7C">
        <w:rPr>
          <w:b/>
          <w:bCs/>
          <w:u w:val="single"/>
          <w:vertAlign w:val="superscript"/>
        </w:rPr>
        <w:t>7</w:t>
      </w:r>
      <w:r w:rsidRPr="00482C7C">
        <w:rPr>
          <w:b/>
          <w:bCs/>
          <w:u w:val="single"/>
        </w:rPr>
        <w:t>, Gauri Dixit PhD</w:t>
      </w:r>
      <w:r w:rsidRPr="00482C7C">
        <w:rPr>
          <w:b/>
          <w:bCs/>
          <w:u w:val="single"/>
          <w:vertAlign w:val="superscript"/>
        </w:rPr>
        <w:t>7</w:t>
      </w:r>
      <w:r w:rsidRPr="00482C7C">
        <w:rPr>
          <w:b/>
          <w:bCs/>
          <w:u w:val="single"/>
        </w:rPr>
        <w:t>, Delaney Berger BA</w:t>
      </w:r>
      <w:r w:rsidRPr="00482C7C">
        <w:rPr>
          <w:b/>
          <w:bCs/>
          <w:u w:val="single"/>
          <w:vertAlign w:val="superscript"/>
        </w:rPr>
        <w:t>7</w:t>
      </w:r>
      <w:r w:rsidRPr="00482C7C">
        <w:rPr>
          <w:b/>
          <w:bCs/>
          <w:u w:val="single"/>
        </w:rPr>
        <w:t>, Wendell Su MS</w:t>
      </w:r>
      <w:r w:rsidRPr="00482C7C">
        <w:rPr>
          <w:b/>
          <w:bCs/>
          <w:u w:val="single"/>
          <w:vertAlign w:val="superscript"/>
        </w:rPr>
        <w:t>7</w:t>
      </w:r>
      <w:r w:rsidRPr="00482C7C">
        <w:rPr>
          <w:b/>
          <w:bCs/>
          <w:u w:val="single"/>
        </w:rPr>
        <w:t>, Matthew Whitfield PhD</w:t>
      </w:r>
      <w:r w:rsidRPr="00482C7C">
        <w:rPr>
          <w:b/>
          <w:bCs/>
          <w:u w:val="single"/>
          <w:vertAlign w:val="superscript"/>
        </w:rPr>
        <w:t>7</w:t>
      </w:r>
      <w:r w:rsidRPr="00482C7C">
        <w:rPr>
          <w:b/>
          <w:bCs/>
          <w:u w:val="single"/>
        </w:rPr>
        <w:t xml:space="preserve">, Jonathan </w:t>
      </w:r>
      <w:proofErr w:type="spellStart"/>
      <w:r w:rsidRPr="00482C7C">
        <w:rPr>
          <w:b/>
          <w:bCs/>
          <w:u w:val="single"/>
        </w:rPr>
        <w:t>Varsanik</w:t>
      </w:r>
      <w:proofErr w:type="spellEnd"/>
      <w:r w:rsidRPr="00482C7C">
        <w:rPr>
          <w:b/>
          <w:bCs/>
          <w:u w:val="single"/>
        </w:rPr>
        <w:t xml:space="preserve"> PhD</w:t>
      </w:r>
      <w:r w:rsidRPr="00482C7C">
        <w:rPr>
          <w:b/>
          <w:bCs/>
          <w:u w:val="single"/>
          <w:vertAlign w:val="superscript"/>
        </w:rPr>
        <w:t>7</w:t>
      </w:r>
      <w:r w:rsidRPr="00482C7C">
        <w:rPr>
          <w:b/>
          <w:bCs/>
          <w:u w:val="single"/>
        </w:rPr>
        <w:t xml:space="preserve">, Mani </w:t>
      </w:r>
      <w:proofErr w:type="spellStart"/>
      <w:r w:rsidRPr="00482C7C">
        <w:rPr>
          <w:b/>
          <w:bCs/>
          <w:u w:val="single"/>
        </w:rPr>
        <w:t>Foroohar</w:t>
      </w:r>
      <w:proofErr w:type="spellEnd"/>
      <w:r w:rsidRPr="00482C7C">
        <w:rPr>
          <w:b/>
          <w:bCs/>
          <w:u w:val="single"/>
        </w:rPr>
        <w:t xml:space="preserve"> MD</w:t>
      </w:r>
      <w:r w:rsidRPr="00482C7C">
        <w:rPr>
          <w:b/>
          <w:bCs/>
          <w:u w:val="single"/>
          <w:vertAlign w:val="superscript"/>
        </w:rPr>
        <w:t>7</w:t>
      </w:r>
      <w:r w:rsidRPr="00482C7C">
        <w:rPr>
          <w:b/>
          <w:bCs/>
          <w:u w:val="single"/>
        </w:rPr>
        <w:t xml:space="preserve">, Ashok </w:t>
      </w:r>
      <w:proofErr w:type="spellStart"/>
      <w:r w:rsidRPr="00482C7C">
        <w:rPr>
          <w:b/>
          <w:bCs/>
          <w:u w:val="single"/>
        </w:rPr>
        <w:t>Chander</w:t>
      </w:r>
      <w:proofErr w:type="spellEnd"/>
      <w:r w:rsidRPr="00482C7C">
        <w:rPr>
          <w:b/>
          <w:bCs/>
          <w:u w:val="single"/>
        </w:rPr>
        <w:t xml:space="preserve"> PhD</w:t>
      </w:r>
      <w:r w:rsidRPr="00482C7C">
        <w:rPr>
          <w:b/>
          <w:bCs/>
          <w:u w:val="single"/>
          <w:vertAlign w:val="superscript"/>
        </w:rPr>
        <w:t>7</w:t>
      </w:r>
      <w:r w:rsidRPr="00482C7C">
        <w:rPr>
          <w:b/>
          <w:bCs/>
          <w:u w:val="single"/>
        </w:rPr>
        <w:t xml:space="preserve"> and Grannum </w:t>
      </w:r>
      <w:proofErr w:type="spellStart"/>
      <w:r w:rsidRPr="00482C7C">
        <w:rPr>
          <w:b/>
          <w:bCs/>
          <w:u w:val="single"/>
        </w:rPr>
        <w:t>Sant</w:t>
      </w:r>
      <w:proofErr w:type="spellEnd"/>
      <w:r w:rsidRPr="00482C7C">
        <w:rPr>
          <w:b/>
          <w:bCs/>
          <w:u w:val="single"/>
        </w:rPr>
        <w:t xml:space="preserve"> MD</w:t>
      </w:r>
      <w:r w:rsidRPr="00482C7C">
        <w:rPr>
          <w:b/>
          <w:bCs/>
          <w:u w:val="single"/>
          <w:vertAlign w:val="superscript"/>
        </w:rPr>
        <w:t>8</w:t>
      </w:r>
      <w:r w:rsidRPr="00482C7C">
        <w:rPr>
          <w:b/>
          <w:bCs/>
          <w:u w:val="single"/>
        </w:rPr>
        <w:t xml:space="preserve"> </w:t>
      </w:r>
    </w:p>
    <w:p w:rsidR="00482C7C" w:rsidRDefault="00482C7C" w:rsidP="00BB2BB4">
      <w:pPr>
        <w:rPr>
          <w:b/>
          <w:bCs/>
          <w:u w:val="single"/>
        </w:rPr>
      </w:pPr>
      <w:r w:rsidRPr="00482C7C">
        <w:rPr>
          <w:b/>
          <w:bCs/>
          <w:u w:val="single"/>
          <w:vertAlign w:val="superscript"/>
        </w:rPr>
        <w:t>1</w:t>
      </w:r>
      <w:r w:rsidRPr="00482C7C">
        <w:rPr>
          <w:b/>
          <w:bCs/>
          <w:u w:val="single"/>
        </w:rPr>
        <w:t xml:space="preserve">Associated Medical Professionals of New York; </w:t>
      </w:r>
      <w:r w:rsidRPr="00482C7C">
        <w:rPr>
          <w:b/>
          <w:bCs/>
          <w:u w:val="single"/>
          <w:vertAlign w:val="superscript"/>
        </w:rPr>
        <w:t>2</w:t>
      </w:r>
      <w:r w:rsidRPr="00482C7C">
        <w:rPr>
          <w:b/>
          <w:bCs/>
          <w:u w:val="single"/>
        </w:rPr>
        <w:t xml:space="preserve">Florida Hospital, Orlando, FL; </w:t>
      </w:r>
      <w:r w:rsidRPr="00482C7C">
        <w:rPr>
          <w:b/>
          <w:bCs/>
          <w:u w:val="single"/>
          <w:vertAlign w:val="superscript"/>
        </w:rPr>
        <w:t>3</w:t>
      </w:r>
      <w:r w:rsidRPr="00482C7C">
        <w:rPr>
          <w:b/>
          <w:bCs/>
          <w:u w:val="single"/>
        </w:rPr>
        <w:t xml:space="preserve">Lahey Hospital and Medical Center, Burlington, MA; </w:t>
      </w:r>
      <w:r w:rsidRPr="00482C7C">
        <w:rPr>
          <w:b/>
          <w:bCs/>
          <w:u w:val="single"/>
          <w:vertAlign w:val="superscript"/>
        </w:rPr>
        <w:t>4</w:t>
      </w:r>
      <w:r w:rsidRPr="00482C7C">
        <w:rPr>
          <w:b/>
          <w:bCs/>
          <w:u w:val="single"/>
        </w:rPr>
        <w:t xml:space="preserve">The Urology Place, San Antonio, TX; </w:t>
      </w:r>
      <w:r w:rsidRPr="00482C7C">
        <w:rPr>
          <w:b/>
          <w:bCs/>
          <w:u w:val="single"/>
          <w:vertAlign w:val="superscript"/>
        </w:rPr>
        <w:t>5</w:t>
      </w:r>
      <w:r w:rsidRPr="00482C7C">
        <w:rPr>
          <w:b/>
          <w:bCs/>
          <w:u w:val="single"/>
        </w:rPr>
        <w:t xml:space="preserve">California Pacific Medical Center, San Francisco, CA; </w:t>
      </w:r>
      <w:r w:rsidRPr="00482C7C">
        <w:rPr>
          <w:b/>
          <w:bCs/>
          <w:u w:val="single"/>
          <w:vertAlign w:val="superscript"/>
        </w:rPr>
        <w:t>6</w:t>
      </w:r>
      <w:r w:rsidRPr="00482C7C">
        <w:rPr>
          <w:b/>
          <w:bCs/>
          <w:u w:val="single"/>
        </w:rPr>
        <w:t xml:space="preserve">University of Rochester Medical Center School of Medicine and Dentistry, Rochester, NY; </w:t>
      </w:r>
      <w:r w:rsidRPr="00482C7C">
        <w:rPr>
          <w:b/>
          <w:bCs/>
          <w:u w:val="single"/>
          <w:vertAlign w:val="superscript"/>
        </w:rPr>
        <w:t>7</w:t>
      </w:r>
      <w:r w:rsidRPr="00482C7C">
        <w:rPr>
          <w:b/>
          <w:bCs/>
          <w:u w:val="single"/>
        </w:rPr>
        <w:t xml:space="preserve">Cellanyx Diagnostics, Beverly, MA; </w:t>
      </w:r>
      <w:r w:rsidRPr="00482C7C">
        <w:rPr>
          <w:b/>
          <w:bCs/>
          <w:u w:val="single"/>
          <w:vertAlign w:val="superscript"/>
        </w:rPr>
        <w:t>8</w:t>
      </w:r>
      <w:r w:rsidRPr="00482C7C">
        <w:rPr>
          <w:b/>
          <w:bCs/>
          <w:u w:val="single"/>
        </w:rPr>
        <w:t xml:space="preserve">Tufts University School of Medicine, Boston, MA </w:t>
      </w:r>
    </w:p>
    <w:p w:rsidR="00482C7C" w:rsidRDefault="00482C7C" w:rsidP="00BB2BB4">
      <w:pPr>
        <w:rPr>
          <w:b/>
          <w:bCs/>
          <w:u w:val="single"/>
        </w:rPr>
      </w:pPr>
    </w:p>
    <w:p w:rsidR="00BB2BB4" w:rsidRPr="00BB2BB4" w:rsidRDefault="00BB2BB4" w:rsidP="00BB2BB4">
      <w:r w:rsidRPr="00BB2BB4">
        <w:rPr>
          <w:b/>
          <w:bCs/>
          <w:u w:val="single"/>
        </w:rPr>
        <w:t>Introduction</w:t>
      </w:r>
      <w:r w:rsidRPr="00BB2BB4">
        <w:rPr>
          <w:b/>
          <w:bCs/>
        </w:rPr>
        <w:t>: A novel tissue based biomarker panel is introduced to objectively assess disease aggressiveness and invasive potential of Prostate Cancer (</w:t>
      </w:r>
      <w:proofErr w:type="spellStart"/>
      <w:r w:rsidRPr="00BB2BB4">
        <w:rPr>
          <w:b/>
          <w:bCs/>
        </w:rPr>
        <w:t>CaP</w:t>
      </w:r>
      <w:proofErr w:type="spellEnd"/>
      <w:r w:rsidRPr="00BB2BB4">
        <w:rPr>
          <w:b/>
          <w:bCs/>
        </w:rPr>
        <w:t>). The biomarker diagnostic platform incorporates both molecular and phenotypic data that may allow an improved understanding of local growth and metastatic potential. The tissue based diagnostic incorporates matrix biology, phenotypic biomarkers, microfluidics, and machine vision. This technology presents the opportunity to culture samples, and both determine and automate biomarker measurements from machine vision algorithm analysis. Data are presented towards clinical validation, the ability to risk stratify, and prediction of local aggressiveness and metastasis.</w:t>
      </w:r>
    </w:p>
    <w:p w:rsidR="00BB2BB4" w:rsidRPr="00BB2BB4" w:rsidRDefault="00BB2BB4" w:rsidP="00BB2BB4">
      <w:r w:rsidRPr="00BB2BB4">
        <w:rPr>
          <w:b/>
          <w:bCs/>
          <w:u w:val="single"/>
        </w:rPr>
        <w:t>Methods</w:t>
      </w:r>
      <w:r w:rsidRPr="00BB2BB4">
        <w:rPr>
          <w:b/>
          <w:bCs/>
        </w:rPr>
        <w:t xml:space="preserve">: Conditions were optimized for reliably culturing primary cancer cells </w:t>
      </w:r>
      <w:r w:rsidRPr="00BB2BB4">
        <w:rPr>
          <w:b/>
          <w:bCs/>
          <w:i/>
          <w:iCs/>
        </w:rPr>
        <w:t>in vitro</w:t>
      </w:r>
      <w:r w:rsidRPr="00BB2BB4">
        <w:rPr>
          <w:b/>
          <w:bCs/>
        </w:rPr>
        <w:t xml:space="preserve"> by simulating </w:t>
      </w:r>
      <w:r w:rsidRPr="00BB2BB4">
        <w:rPr>
          <w:b/>
          <w:bCs/>
          <w:i/>
          <w:iCs/>
        </w:rPr>
        <w:t>in vivo</w:t>
      </w:r>
      <w:r w:rsidRPr="00BB2BB4">
        <w:rPr>
          <w:b/>
          <w:bCs/>
        </w:rPr>
        <w:t xml:space="preserve"> conditions on an extracellular matrix formulation. A microfluidics device was used to culture live tumor samples </w:t>
      </w:r>
      <w:r w:rsidRPr="00BB2BB4">
        <w:rPr>
          <w:b/>
          <w:bCs/>
          <w:i/>
          <w:iCs/>
        </w:rPr>
        <w:t>ex vivo</w:t>
      </w:r>
      <w:r w:rsidRPr="00BB2BB4">
        <w:rPr>
          <w:b/>
          <w:bCs/>
        </w:rPr>
        <w:t xml:space="preserve"> enabling automated imaging of the label free and label-based biomarkers.</w:t>
      </w:r>
    </w:p>
    <w:p w:rsidR="00BB2BB4" w:rsidRPr="00BB2BB4" w:rsidRDefault="00BB2BB4" w:rsidP="00BB2BB4">
      <w:r w:rsidRPr="00BB2BB4">
        <w:rPr>
          <w:b/>
          <w:bCs/>
          <w:u w:val="single"/>
        </w:rPr>
        <w:t>Results</w:t>
      </w:r>
      <w:r w:rsidRPr="00BB2BB4">
        <w:rPr>
          <w:b/>
          <w:bCs/>
        </w:rPr>
        <w:t xml:space="preserve">: The validation study was IRB approved and performed in 200 consecutive </w:t>
      </w:r>
      <w:proofErr w:type="spellStart"/>
      <w:r w:rsidRPr="00BB2BB4">
        <w:rPr>
          <w:b/>
          <w:bCs/>
        </w:rPr>
        <w:t>CaP</w:t>
      </w:r>
      <w:proofErr w:type="spellEnd"/>
      <w:r w:rsidRPr="00BB2BB4">
        <w:rPr>
          <w:b/>
          <w:bCs/>
        </w:rPr>
        <w:t xml:space="preserve"> radical prostatectomy derived specimens collected between 03/2014 and 09/2015. Data was analyzed with receiver operating characteristics (ROC) generated Area-under-the-Curve (AUC) and specifically included capsular penetration, seminal vesicle invasion, as well as margin-positive disease. AUC Graphs are presented. The study further demonstrated that a normal set of phenotypic biomarkers can produce secondary metrics termed General Adverse Pathology Potential (GAPP), Local Adverse Pathology Potential (LAPP), &amp; Metastatic Adverse Pathology Potential (MAPP) . Concordance analysis supports that LAPP and MAPP are integral for distinguishing between benign histology and malignancy, predicting both stage and adverse pathology such as extra-prostatic extension (EPE) and lympho-vascular invasion (LVI). The study results demonstrate AUCs greater than 0.85 in predicting EPE and LVI.</w:t>
      </w:r>
    </w:p>
    <w:p w:rsidR="00114FD0" w:rsidRDefault="00BB2BB4" w:rsidP="00BB2BB4">
      <w:r w:rsidRPr="00BB2BB4">
        <w:rPr>
          <w:b/>
          <w:bCs/>
          <w:u w:val="single"/>
        </w:rPr>
        <w:t>Conclusion</w:t>
      </w:r>
      <w:r w:rsidRPr="00BB2BB4">
        <w:rPr>
          <w:b/>
          <w:bCs/>
        </w:rPr>
        <w:t xml:space="preserve">: Results support the clinical validation of a novel live- cell phenotypic </w:t>
      </w:r>
      <w:r w:rsidRPr="00BB2BB4">
        <w:rPr>
          <w:b/>
          <w:bCs/>
          <w:i/>
          <w:iCs/>
        </w:rPr>
        <w:t>in vitro</w:t>
      </w:r>
      <w:r w:rsidRPr="00BB2BB4">
        <w:rPr>
          <w:b/>
          <w:bCs/>
        </w:rPr>
        <w:t xml:space="preserve"> tumor diagnostic test. This test has the potential to predict adverse pathologies for </w:t>
      </w:r>
      <w:proofErr w:type="spellStart"/>
      <w:r w:rsidRPr="00BB2BB4">
        <w:rPr>
          <w:b/>
          <w:bCs/>
        </w:rPr>
        <w:t>CaP</w:t>
      </w:r>
      <w:proofErr w:type="spellEnd"/>
      <w:r w:rsidRPr="00BB2BB4">
        <w:rPr>
          <w:b/>
          <w:bCs/>
        </w:rPr>
        <w:t xml:space="preserve"> and may have extended clinical applications to optimize staging and risk stratification.</w:t>
      </w:r>
    </w:p>
    <w:sectPr w:rsidR="00114FD0" w:rsidSect="00114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B2BB4"/>
    <w:rsid w:val="00114FD0"/>
    <w:rsid w:val="00482C7C"/>
    <w:rsid w:val="00BB2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6D0D7F-947E-4282-B482-D50B53B09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FD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711777">
      <w:bodyDiv w:val="1"/>
      <w:marLeft w:val="0"/>
      <w:marRight w:val="0"/>
      <w:marTop w:val="0"/>
      <w:marBottom w:val="0"/>
      <w:divBdr>
        <w:top w:val="none" w:sz="0" w:space="0" w:color="auto"/>
        <w:left w:val="none" w:sz="0" w:space="0" w:color="auto"/>
        <w:bottom w:val="none" w:sz="0" w:space="0" w:color="auto"/>
        <w:right w:val="none" w:sz="0" w:space="0" w:color="auto"/>
      </w:divBdr>
    </w:div>
    <w:div w:id="184824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462</Words>
  <Characters>2640</Characters>
  <Application>Microsoft Office Word</Application>
  <DocSecurity>0</DocSecurity>
  <Lines>22</Lines>
  <Paragraphs>6</Paragraphs>
  <ScaleCrop>false</ScaleCrop>
  <Company>Microsoft</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MManak</dc:creator>
  <cp:lastModifiedBy>David Albala</cp:lastModifiedBy>
  <cp:revision>2</cp:revision>
  <dcterms:created xsi:type="dcterms:W3CDTF">2016-01-18T23:15:00Z</dcterms:created>
  <dcterms:modified xsi:type="dcterms:W3CDTF">2016-01-18T23:27:00Z</dcterms:modified>
</cp:coreProperties>
</file>